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A0" w:rsidRDefault="00EF0049">
      <w:pPr>
        <w:pStyle w:val="Heading1"/>
        <w:rPr>
          <w:rFonts w:eastAsia="Times New Roman"/>
        </w:rPr>
      </w:pPr>
      <w:r>
        <w:rPr>
          <w:rFonts w:eastAsia="Times New Roman"/>
        </w:rPr>
        <w:t>Research Methods 3RM</w:t>
      </w:r>
      <w:r w:rsidR="00616132">
        <w:rPr>
          <w:rFonts w:eastAsia="Times New Roman"/>
        </w:rPr>
        <w:t xml:space="preserve"> -</w:t>
      </w:r>
      <w:bookmarkStart w:id="0" w:name="_GoBack"/>
      <w:bookmarkEnd w:id="0"/>
      <w:r>
        <w:rPr>
          <w:rFonts w:eastAsia="Times New Roman"/>
        </w:rPr>
        <w:t xml:space="preserve"> Measurement</w:t>
      </w:r>
    </w:p>
    <w:p w:rsidR="00B63FA0" w:rsidRDefault="00EF0049">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B63FA0" w:rsidRDefault="00EF0049">
      <w:pPr>
        <w:pStyle w:val="NormalWeb"/>
      </w:pPr>
      <w:r>
        <w:rPr>
          <w:rStyle w:val="Strong"/>
        </w:rPr>
        <w:t>Note to the Instructor:</w:t>
      </w:r>
      <w:r>
        <w:t xml:space="preserve"> This is the third in a series of 13 exercises that were written for an introductory research methods class.  The first exercise focuses on the research design which is your plan of action that explains how you will try to answer your research questions.  Exercises two through four </w:t>
      </w:r>
      <w:proofErr w:type="gramStart"/>
      <w:r>
        <w:t>focus</w:t>
      </w:r>
      <w:proofErr w:type="gramEnd"/>
      <w:r>
        <w:t xml:space="preserve"> on sampling, measurement, and data collection.  The fifth exercise discusses hypotheses and hypothesis testing.  The last eight exercises focus on data analysis.  In these exercises we’re going to analyze data from one of the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B63FA0" w:rsidRDefault="00616132">
      <w:pPr>
        <w:pStyle w:val="NormalWeb"/>
      </w:pPr>
      <w:hyperlink r:id="rId8" w:history="1">
        <w:r w:rsidR="00EF0049">
          <w:rPr>
            <w:rStyle w:val="Hyperlink"/>
          </w:rPr>
          <w:t>This page</w:t>
        </w:r>
      </w:hyperlink>
      <w:r w:rsidR="00EF0049">
        <w:t xml:space="preserve"> in MS Word (.docx) format is attached.</w:t>
      </w:r>
    </w:p>
    <w:p w:rsidR="00B63FA0" w:rsidRDefault="00EF0049">
      <w:pPr>
        <w:pStyle w:val="Heading2"/>
        <w:rPr>
          <w:rFonts w:eastAsia="Times New Roman"/>
        </w:rPr>
      </w:pPr>
      <w:r>
        <w:rPr>
          <w:rFonts w:eastAsia="Times New Roman"/>
        </w:rPr>
        <w:t>Goal of Exercise</w:t>
      </w:r>
    </w:p>
    <w:p w:rsidR="00B63FA0" w:rsidRDefault="00EF0049">
      <w:pPr>
        <w:pStyle w:val="NormalWeb"/>
      </w:pPr>
      <w:r>
        <w:t>The goal of this exercise is to provide an introduction to measurement which is an integral part of any research design.  The other elements of your research design are sampling, data collection, and data analysis and will be discussed in other exercises. </w:t>
      </w:r>
    </w:p>
    <w:p w:rsidR="00B63FA0" w:rsidRDefault="00EF0049">
      <w:pPr>
        <w:pStyle w:val="Heading3"/>
        <w:rPr>
          <w:rFonts w:eastAsia="Times New Roman"/>
        </w:rPr>
      </w:pPr>
      <w:r>
        <w:rPr>
          <w:rFonts w:eastAsia="Times New Roman"/>
        </w:rPr>
        <w:t>Part I—Concepts</w:t>
      </w:r>
    </w:p>
    <w:p w:rsidR="00B63FA0" w:rsidRDefault="00EF0049">
      <w:pPr>
        <w:pStyle w:val="NormalWeb"/>
      </w:pPr>
      <w:r>
        <w:t>We use concepts all the time.  We all know what a book is.  But when we use the word “book” we may not be talking about a particular book we’re reading. We could be talking about books in general.  In other words, we’re talking about the concept to which we have given the name “book.”  There are many different types of books – paperback, hardback, small, large, short, long, and so on.  But they all have one thing in common – they all belong to the category “book.”</w:t>
      </w:r>
    </w:p>
    <w:p w:rsidR="00B63FA0" w:rsidRDefault="00EF0049">
      <w:pPr>
        <w:pStyle w:val="NormalWeb"/>
      </w:pPr>
      <w:r>
        <w:t xml:space="preserve">Let’s look at another example.  Religiosity is a concept which refers to the degree of attachment that individuals have to their religious preference.  It’s different than religious preference which refers to the religion with which they identify.  Some people say they are Lutheran; others say </w:t>
      </w:r>
      <w:r>
        <w:lastRenderedPageBreak/>
        <w:t>they are Roman Catholic; still others say they are Muslim; and others say they have no religious preference.   Religiosity and religious preference are both concepts.</w:t>
      </w:r>
    </w:p>
    <w:p w:rsidR="00B63FA0" w:rsidRDefault="00EF0049">
      <w:pPr>
        <w:pStyle w:val="NormalWeb"/>
      </w:pPr>
      <w:r>
        <w:t xml:space="preserve">In other words, a concept is an abstract idea.  There are the abstract ideas of book, religiosity, religious preference, and many others.  </w:t>
      </w:r>
      <w:proofErr w:type="gramStart"/>
      <w:r>
        <w:t>Since concepts are abstract ideas and not directly observable, we must select measures or indicants of these concepts.</w:t>
      </w:r>
      <w:proofErr w:type="gramEnd"/>
      <w:r>
        <w:t>  We’ll call this process measurement.</w:t>
      </w:r>
    </w:p>
    <w:p w:rsidR="00B63FA0" w:rsidRDefault="00EF0049">
      <w:pPr>
        <w:pStyle w:val="NormalWeb"/>
      </w:pPr>
      <w:r>
        <w:t>Assume that we’re interested in the following research question:  Why do some people favor same-sex marriage and others oppose it?  In other words, we’re trying to explain support or opposition to same-sex marriage.  Let’s think about the concepts that might help us explain such support.  If we think that females are more likely to support same-sex marriage then men, then sex would be a concept that we would want to include in our study.  If we think that people with more education are more likely to support same-sex marriage, then education would be a concept to include.  But not all concepts would be relevant to our study of same-sex marriage.  Hair and eye color are concepts but they wouldn’t be relevant. </w:t>
      </w:r>
    </w:p>
    <w:p w:rsidR="00B63FA0" w:rsidRDefault="00EF0049">
      <w:pPr>
        <w:pStyle w:val="Heading3"/>
        <w:rPr>
          <w:rFonts w:eastAsia="Times New Roman"/>
        </w:rPr>
      </w:pPr>
      <w:r>
        <w:rPr>
          <w:rFonts w:eastAsia="Times New Roman"/>
        </w:rPr>
        <w:t xml:space="preserve">Part II – Now </w:t>
      </w:r>
      <w:proofErr w:type="gramStart"/>
      <w:r>
        <w:rPr>
          <w:rFonts w:eastAsia="Times New Roman"/>
        </w:rPr>
        <w:t>It’s</w:t>
      </w:r>
      <w:proofErr w:type="gramEnd"/>
      <w:r>
        <w:rPr>
          <w:rFonts w:eastAsia="Times New Roman"/>
        </w:rPr>
        <w:t xml:space="preserve"> Your Turn</w:t>
      </w:r>
    </w:p>
    <w:p w:rsidR="00B63FA0" w:rsidRDefault="00EF0049">
      <w:pPr>
        <w:pStyle w:val="NormalWeb"/>
      </w:pPr>
      <w:r>
        <w:t>The research study that we’ll be using in these exercises is the Monitoring the Future Survey of high school seniors in the United States that has been conducted yearly since 1975.  A major focus of this survey is students’ drug use.  Questions about drug use include a variety of questions about alcohol.  One of these questions asked how often during the last two weeks students had consumed “five or more drinks in a row” which is a common definition of binge drinking.  Let’s assume that we want to explain why some students engage in binge drinking and others do not.  List three concepts that you think might help us understand this behavior.  For each concept write a paragraph indicating why you think this concept would be useful in explaining binge drinking.</w:t>
      </w:r>
    </w:p>
    <w:p w:rsidR="00B63FA0" w:rsidRDefault="00EF0049">
      <w:pPr>
        <w:pStyle w:val="Heading3"/>
        <w:rPr>
          <w:rFonts w:eastAsia="Times New Roman"/>
        </w:rPr>
      </w:pPr>
      <w:r>
        <w:rPr>
          <w:rFonts w:eastAsia="Times New Roman"/>
        </w:rPr>
        <w:t>Part III – Measures</w:t>
      </w:r>
    </w:p>
    <w:p w:rsidR="00B63FA0" w:rsidRDefault="00EF0049">
      <w:pPr>
        <w:pStyle w:val="NormalWeb"/>
      </w:pPr>
      <w:r>
        <w:t>A concept is an abstract idea.  Abstract ideas can’t be directly observed.  We have to find some piece of empirical data that we can use as a measure (or indicant) of the concept.  Let’s see if we can make this clearer by looking at some examples. </w:t>
      </w:r>
    </w:p>
    <w:p w:rsidR="00B63FA0" w:rsidRDefault="00EF0049">
      <w:pPr>
        <w:pStyle w:val="NormalWeb"/>
      </w:pPr>
      <w:r>
        <w:t>Let’s start by looking at how the Monitoring the Future Survey measured students’ drug use.  Our concept is drug use.  First, the survey recognized that there are many different types of drugs that students might use (e.g., alcohol, marijuana, cocaine, LSD, etc.).  Use of each of these drugs needs to be measured separately.  For each drug the survey asked how often students had used this drug over their lifetime, during the last twelve months, and during the last 30 days.  In other words, students’ answers to these questions become our measures of this particular type of drug use.</w:t>
      </w:r>
    </w:p>
    <w:p w:rsidR="00B63FA0" w:rsidRDefault="00EF0049">
      <w:pPr>
        <w:pStyle w:val="NormalWeb"/>
      </w:pPr>
      <w:r>
        <w:t>Now let’s consider political views or outlook.  This refers to whether respondents are politically conservative, moderate, or liberal.  How could we measure this concept?</w:t>
      </w:r>
    </w:p>
    <w:p w:rsidR="00B63FA0" w:rsidRDefault="00EF0049">
      <w:pPr>
        <w:pStyle w:val="NormalWeb"/>
      </w:pPr>
      <w:r>
        <w:lastRenderedPageBreak/>
        <w:t>One way to measure political views is to ask respondents the following question – “In general, would you describe your political views as conservative, moderate, or liberal?”  In other words, respondents are asked to self-report their own political views.</w:t>
      </w:r>
      <w:bookmarkStart w:id="1" w:name="_ftnref1"/>
      <w:r>
        <w:fldChar w:fldCharType="begin"/>
      </w:r>
      <w:r>
        <w:instrText xml:space="preserve"> HYPERLINK "" \l "_ftn1" \o "" </w:instrText>
      </w:r>
      <w:r>
        <w:fldChar w:fldCharType="separate"/>
      </w:r>
      <w:r>
        <w:rPr>
          <w:rStyle w:val="Hyperlink"/>
        </w:rPr>
        <w:t>[1]</w:t>
      </w:r>
      <w:r>
        <w:fldChar w:fldCharType="end"/>
      </w:r>
      <w:bookmarkEnd w:id="1"/>
    </w:p>
    <w:p w:rsidR="00B63FA0" w:rsidRDefault="00EF0049">
      <w:pPr>
        <w:pStyle w:val="NormalWeb"/>
      </w:pPr>
      <w:r>
        <w:t>Another way is to use a series of questions that asks respondents whether they thought government was wasteful, whether government regulation was necessary, whether the government should do more to help needy Americans, and whether the best way to ensure peace was through military strength.</w:t>
      </w:r>
      <w:bookmarkStart w:id="2" w:name="_ftnref2"/>
      <w:r>
        <w:fldChar w:fldCharType="begin"/>
      </w:r>
      <w:r>
        <w:instrText xml:space="preserve"> HYPERLINK "" \l "_ftn2" \o "" </w:instrText>
      </w:r>
      <w:r>
        <w:fldChar w:fldCharType="separate"/>
      </w:r>
      <w:r>
        <w:rPr>
          <w:rStyle w:val="Hyperlink"/>
        </w:rPr>
        <w:t>[2]</w:t>
      </w:r>
      <w:r>
        <w:fldChar w:fldCharType="end"/>
      </w:r>
      <w:bookmarkEnd w:id="2"/>
      <w:r>
        <w:t>  Each of these questions had a clear conservative response and a clear liberal response.  You could count the number of conservative and the number of liberal responses and use this to measure political views. </w:t>
      </w:r>
    </w:p>
    <w:p w:rsidR="00B63FA0" w:rsidRDefault="00EF0049">
      <w:pPr>
        <w:pStyle w:val="NormalWeb"/>
      </w:pPr>
      <w:r>
        <w:t>Finally, let’s think about how we could measure voter turnout.  The Pew Research Center has shown that voter turnout in U.S. presidential elections is relatively low (i.e., relative to other developed countries).</w:t>
      </w:r>
      <w:bookmarkStart w:id="3" w:name="_ftnref3"/>
      <w:r>
        <w:fldChar w:fldCharType="begin"/>
      </w:r>
      <w:r>
        <w:instrText xml:space="preserve"> HYPERLINK "" \l "_ftn3" \o "" </w:instrText>
      </w:r>
      <w:r>
        <w:fldChar w:fldCharType="separate"/>
      </w:r>
      <w:r>
        <w:rPr>
          <w:rStyle w:val="Hyperlink"/>
        </w:rPr>
        <w:t>[3]</w:t>
      </w:r>
      <w:r>
        <w:fldChar w:fldCharType="end"/>
      </w:r>
      <w:bookmarkEnd w:id="3"/>
      <w:r>
        <w:t>  Voter turnout is the concept.  But how do we measure voter turnout?  One alternative would be to divide the number of votes cast by an estimate of the voting-age population.  Another alternative is to divide the number of votes cast by the number of registered voters.  In 2012, 53.6% of the voting age population voted but 84.3% of registered voters actually voted.  What accounts for this difference is that in the United States a lot of people who are eligible to vote don’t actually register and therefore cannot vote.  The way in which we measure concepts often makes a difference so it’s critical to be clear in explaining how we measure our concepts.</w:t>
      </w:r>
    </w:p>
    <w:p w:rsidR="00B63FA0" w:rsidRDefault="00EF0049">
      <w:pPr>
        <w:pStyle w:val="Heading3"/>
        <w:rPr>
          <w:rFonts w:eastAsia="Times New Roman"/>
        </w:rPr>
      </w:pPr>
      <w:r>
        <w:rPr>
          <w:rFonts w:eastAsia="Times New Roman"/>
        </w:rPr>
        <w:t>Part IV – It’s Your Turn Again</w:t>
      </w:r>
    </w:p>
    <w:p w:rsidR="00B63FA0" w:rsidRDefault="00EF0049">
      <w:pPr>
        <w:pStyle w:val="NormalWeb"/>
      </w:pPr>
      <w:r>
        <w:t>Here are three concepts that you might want to include in any study that focuses on political behavior.  Write a paragraph for each concept indicating how you might measure that concept.  Include the questions that you would want to ask in your survey.</w:t>
      </w:r>
    </w:p>
    <w:p w:rsidR="00B63FA0" w:rsidRDefault="00EF0049">
      <w:pPr>
        <w:numPr>
          <w:ilvl w:val="0"/>
          <w:numId w:val="1"/>
        </w:numPr>
        <w:spacing w:before="100" w:beforeAutospacing="1" w:after="100" w:afterAutospacing="1"/>
        <w:rPr>
          <w:rFonts w:eastAsia="Times New Roman"/>
        </w:rPr>
      </w:pPr>
      <w:r>
        <w:rPr>
          <w:rFonts w:eastAsia="Times New Roman"/>
        </w:rPr>
        <w:t>Political party preference – the political party that the person identifies with.  Be sure to allow for the possibility that a person might identify with a party other than the Republican and the Democratic parties and the possibility that the person has no political party preference.</w:t>
      </w:r>
    </w:p>
    <w:p w:rsidR="00B63FA0" w:rsidRDefault="00EF0049">
      <w:pPr>
        <w:numPr>
          <w:ilvl w:val="0"/>
          <w:numId w:val="1"/>
        </w:numPr>
        <w:spacing w:before="100" w:beforeAutospacing="1" w:after="100" w:afterAutospacing="1"/>
        <w:rPr>
          <w:rFonts w:eastAsia="Times New Roman"/>
        </w:rPr>
      </w:pPr>
      <w:r>
        <w:rPr>
          <w:rFonts w:eastAsia="Times New Roman"/>
        </w:rPr>
        <w:t>Voting behavior – the candidate that the person is most likely to vote for if the election were held today.  You can choose any future political election.</w:t>
      </w:r>
    </w:p>
    <w:p w:rsidR="00B63FA0" w:rsidRDefault="00EF0049">
      <w:pPr>
        <w:numPr>
          <w:ilvl w:val="0"/>
          <w:numId w:val="1"/>
        </w:numPr>
        <w:spacing w:before="100" w:beforeAutospacing="1" w:after="100" w:afterAutospacing="1"/>
        <w:rPr>
          <w:rFonts w:eastAsia="Times New Roman"/>
        </w:rPr>
      </w:pPr>
      <w:r>
        <w:rPr>
          <w:rFonts w:eastAsia="Times New Roman"/>
        </w:rPr>
        <w:t>Likelihood of voting – the likelihood that the person will vote in an upcoming election.</w:t>
      </w:r>
    </w:p>
    <w:p w:rsidR="00B63FA0" w:rsidRDefault="00EF0049">
      <w:pPr>
        <w:pStyle w:val="Heading3"/>
        <w:rPr>
          <w:rFonts w:eastAsia="Times New Roman"/>
        </w:rPr>
      </w:pPr>
      <w:r>
        <w:rPr>
          <w:rFonts w:eastAsia="Times New Roman"/>
        </w:rPr>
        <w:t>Part V – Characteristics of Good Measures</w:t>
      </w:r>
    </w:p>
    <w:p w:rsidR="00B63FA0" w:rsidRDefault="00EF0049">
      <w:pPr>
        <w:pStyle w:val="NormalWeb"/>
      </w:pPr>
      <w:r>
        <w:t>You might be wondering how we distinguish between good and bad measures.  Good measures are reliable, valid, and precise enough.</w:t>
      </w:r>
      <w:bookmarkStart w:id="4" w:name="_ftnref4"/>
      <w:r>
        <w:fldChar w:fldCharType="begin"/>
      </w:r>
      <w:r>
        <w:instrText xml:space="preserve"> HYPERLINK "" \l "_ftn4" \o "" </w:instrText>
      </w:r>
      <w:r>
        <w:fldChar w:fldCharType="separate"/>
      </w:r>
      <w:r>
        <w:rPr>
          <w:rStyle w:val="Hyperlink"/>
        </w:rPr>
        <w:t>[4]</w:t>
      </w:r>
      <w:r>
        <w:fldChar w:fldCharType="end"/>
      </w:r>
      <w:bookmarkEnd w:id="4"/>
    </w:p>
    <w:p w:rsidR="00B63FA0" w:rsidRDefault="00EF0049">
      <w:pPr>
        <w:pStyle w:val="NormalWeb"/>
      </w:pPr>
      <w:r>
        <w:t>Reliability means that they are consistent.  Consistency refers to two different aspects of measures. </w:t>
      </w:r>
    </w:p>
    <w:p w:rsidR="00B63FA0" w:rsidRDefault="00EF0049">
      <w:pPr>
        <w:numPr>
          <w:ilvl w:val="0"/>
          <w:numId w:val="2"/>
        </w:numPr>
        <w:spacing w:before="100" w:beforeAutospacing="1" w:after="100" w:afterAutospacing="1"/>
        <w:rPr>
          <w:rFonts w:eastAsia="Times New Roman"/>
        </w:rPr>
      </w:pPr>
      <w:r>
        <w:rPr>
          <w:rFonts w:eastAsia="Times New Roman"/>
        </w:rPr>
        <w:t xml:space="preserve">Imagine that you weighed yourself in the morning.  Then you took a shower and when you got out of the shower you weighed yourself again.  You would expect the scale to </w:t>
      </w:r>
      <w:r>
        <w:rPr>
          <w:rFonts w:eastAsia="Times New Roman"/>
        </w:rPr>
        <w:lastRenderedPageBreak/>
        <w:t>give you very similar results.  If you weighted much less the second time you weighted yourself, you would question the reliability of your scale.  This refers to consistency over time.  The way you check for consistency over time is test and then retest.  For example, if you wanted to check on the reliability of your question about same-sex marriage, ask a sample of respondents at time one and then retest by asking the same respondents the same question again at time 2 (e.g., one month later).  A few respondents might change their answer but most should give you the same response.</w:t>
      </w:r>
    </w:p>
    <w:p w:rsidR="00B63FA0" w:rsidRDefault="00EF0049">
      <w:pPr>
        <w:numPr>
          <w:ilvl w:val="0"/>
          <w:numId w:val="2"/>
        </w:numPr>
        <w:spacing w:before="100" w:beforeAutospacing="1" w:after="100" w:afterAutospacing="1"/>
        <w:rPr>
          <w:rFonts w:eastAsia="Times New Roman"/>
        </w:rPr>
      </w:pPr>
      <w:r>
        <w:rPr>
          <w:rFonts w:eastAsia="Times New Roman"/>
        </w:rPr>
        <w:t>Most of us have taken the written test for our driver’s license.  It’s a series of multiple-choice questions.  You have to get a certain number of questions correct to pass.  There isn’t just one test.  If there was, everyone would know the questions before they took the test and probably pass.  There’s a whole set of tests with different questions.  However, we wouldn’t want some of the tests to be harder than others.  We want the tests to be equivalent.  We refer to this type of consistency as equivalence. </w:t>
      </w:r>
    </w:p>
    <w:p w:rsidR="00B63FA0" w:rsidRDefault="00EF0049">
      <w:pPr>
        <w:pStyle w:val="NormalWeb"/>
      </w:pPr>
      <w:r>
        <w:t>We also want our measure to be valid.  A measure is valid if it measures what we say it measures.  We can test for validity in several different ways.  Here are some of these ways.</w:t>
      </w:r>
    </w:p>
    <w:p w:rsidR="00B63FA0" w:rsidRDefault="00EF0049">
      <w:pPr>
        <w:numPr>
          <w:ilvl w:val="0"/>
          <w:numId w:val="3"/>
        </w:numPr>
        <w:spacing w:before="100" w:beforeAutospacing="1" w:after="100" w:afterAutospacing="1"/>
        <w:rPr>
          <w:rFonts w:eastAsia="Times New Roman"/>
        </w:rPr>
      </w:pPr>
      <w:r>
        <w:rPr>
          <w:rFonts w:eastAsia="Times New Roman"/>
        </w:rPr>
        <w:t xml:space="preserve">Face validity means that the measure is valid on the face of it.  There are some measures that are obviously valid.  For example, we might ask how old a person was on their last birthday.  We would probably all agree that this measure of age is obviously valid.  Notice by the way that there are some situations where we wouldn’t consider it obviously valid.  A bartender wouldn’t accept a patron’s answer to this question as obviously valid.  The bartender would want to see </w:t>
      </w:r>
      <w:proofErr w:type="gramStart"/>
      <w:r>
        <w:rPr>
          <w:rFonts w:eastAsia="Times New Roman"/>
        </w:rPr>
        <w:t>a photo</w:t>
      </w:r>
      <w:proofErr w:type="gramEnd"/>
      <w:r>
        <w:rPr>
          <w:rFonts w:eastAsia="Times New Roman"/>
        </w:rPr>
        <w:t xml:space="preserve"> identification such as a driver’s license.</w:t>
      </w:r>
    </w:p>
    <w:p w:rsidR="00B63FA0" w:rsidRDefault="00EF0049">
      <w:pPr>
        <w:numPr>
          <w:ilvl w:val="0"/>
          <w:numId w:val="3"/>
        </w:numPr>
        <w:spacing w:before="100" w:beforeAutospacing="1" w:after="100" w:afterAutospacing="1"/>
        <w:rPr>
          <w:rFonts w:eastAsia="Times New Roman"/>
        </w:rPr>
      </w:pPr>
      <w:r>
        <w:rPr>
          <w:rFonts w:eastAsia="Times New Roman"/>
        </w:rPr>
        <w:t>When you apply for a credit card, a company must have some way to decide whether to give you that credit card.  But how do they measure your credit risk?  Are you a good risk or a poor risk?  Let’s say they select a sample of 1,000 clients from all their past clients.  Then they randomly divide this into two subsamples of 500 clients each. They use the data from the first subsample to develop their credit risk measure.  This measure scores applicants on a measure of credit risk that varies from 1 (very poor risk) to 10 (very good risk).  Then they use that measure to see if it accurately predicts whether the second random subsample paid their bills or not.  If there is a strong correlation between the credit risk measure and their credit history, then they have validated their measure.  We call this predictive validity because we can determine whether our measure accurately predicts this clearly valid measure of one’s credit risk.  If it is valid, then they can use this measure to make future decisions on who to give credit cards to because they know it is a valid measure of credit risk.</w:t>
      </w:r>
    </w:p>
    <w:p w:rsidR="00B63FA0" w:rsidRDefault="00EF0049">
      <w:pPr>
        <w:numPr>
          <w:ilvl w:val="0"/>
          <w:numId w:val="3"/>
        </w:numPr>
        <w:spacing w:before="100" w:beforeAutospacing="1" w:after="100" w:afterAutospacing="1"/>
        <w:rPr>
          <w:rFonts w:eastAsia="Times New Roman"/>
        </w:rPr>
      </w:pPr>
      <w:r>
        <w:rPr>
          <w:rFonts w:eastAsia="Times New Roman"/>
        </w:rPr>
        <w:t>Let’s say that we want to measure a person’s mathematical skill.  Mathematics encompasses many content areas – simple arithmetic, algebra, geometry, trigonometry, calculus, and beyond.  So we decide to develop a test to measure mathematical skill.  Our test should include all these areas and not just some of them.  If it does, we can say that it has content validity since it covers the entire range of mathematical skills.</w:t>
      </w:r>
    </w:p>
    <w:p w:rsidR="00B63FA0" w:rsidRDefault="00EF0049">
      <w:pPr>
        <w:pStyle w:val="NormalWeb"/>
      </w:pPr>
      <w:r>
        <w:t xml:space="preserve">We also want our measure to be precise enough.  </w:t>
      </w:r>
      <w:proofErr w:type="gramStart"/>
      <w:r>
        <w:t>If you want to know what the temperature currently is, you probably only need to know it to the nearest degree.</w:t>
      </w:r>
      <w:proofErr w:type="gramEnd"/>
      <w:r>
        <w:t xml:space="preserve">  It’s sufficient to know that it is 84 degrees Fahrenheit.  You don’t need to know that it is 84.2 degrees.  </w:t>
      </w:r>
      <w:proofErr w:type="gramStart"/>
      <w:r>
        <w:t xml:space="preserve">Similarly, if you </w:t>
      </w:r>
      <w:r>
        <w:lastRenderedPageBreak/>
        <w:t>want to know a person’s family income, you probably only need to know it to the nearest thousand dollars.</w:t>
      </w:r>
      <w:proofErr w:type="gramEnd"/>
      <w:r>
        <w:t>  More precision would probably be unnecessary.  On the other hand, you might want more precision than just knowing income to the nearest tens of thousands of dollars.  You want your measure to be precise enough.</w:t>
      </w:r>
    </w:p>
    <w:p w:rsidR="00B63FA0" w:rsidRDefault="006875DF">
      <w:pPr>
        <w:divId w:val="475873175"/>
        <w:rPr>
          <w:rFonts w:eastAsia="Times New Roman"/>
        </w:rPr>
      </w:pPr>
      <w:r>
        <w:rPr>
          <w:rFonts w:eastAsia="Times New Roman"/>
        </w:rPr>
        <w:t> </w:t>
      </w:r>
    </w:p>
    <w:p w:rsidR="00B63FA0" w:rsidRDefault="00616132">
      <w:pPr>
        <w:divId w:val="475873175"/>
        <w:rPr>
          <w:rFonts w:eastAsia="Times New Roman"/>
        </w:rPr>
      </w:pPr>
      <w:r>
        <w:rPr>
          <w:rFonts w:eastAsia="Times New Roman"/>
        </w:rPr>
        <w:pict>
          <v:rect id="_x0000_i1025" style="width:0;height:1.5pt" o:hralign="center" o:hrstd="t" o:hr="t" fillcolor="#a0a0a0" stroked="f"/>
        </w:pict>
      </w:r>
    </w:p>
    <w:bookmarkStart w:id="5" w:name="_ftn1"/>
    <w:p w:rsidR="00B63FA0" w:rsidRDefault="00EF0049">
      <w:pPr>
        <w:pStyle w:val="NormalWeb"/>
        <w:divId w:val="2006979327"/>
      </w:pPr>
      <w:r>
        <w:fldChar w:fldCharType="begin"/>
      </w:r>
      <w:r>
        <w:instrText xml:space="preserve"> HYPERLINK "" \l "_ftnref1" \o "" </w:instrText>
      </w:r>
      <w:r>
        <w:fldChar w:fldCharType="separate"/>
      </w:r>
      <w:r>
        <w:rPr>
          <w:rStyle w:val="Hyperlink"/>
        </w:rPr>
        <w:t>[1]</w:t>
      </w:r>
      <w:r>
        <w:fldChar w:fldCharType="end"/>
      </w:r>
      <w:bookmarkEnd w:id="5"/>
      <w:r>
        <w:t xml:space="preserve"> This question is from the 2014 Pew Political Polarization survey.  More information can be found on their </w:t>
      </w:r>
      <w:hyperlink r:id="rId9" w:history="1">
        <w:r>
          <w:rPr>
            <w:rStyle w:val="Hyperlink"/>
          </w:rPr>
          <w:t>website</w:t>
        </w:r>
      </w:hyperlink>
      <w:r>
        <w:t>.</w:t>
      </w:r>
    </w:p>
    <w:bookmarkStart w:id="6" w:name="_ftn2"/>
    <w:p w:rsidR="00B63FA0" w:rsidRDefault="00EF0049">
      <w:pPr>
        <w:pStyle w:val="NormalWeb"/>
        <w:divId w:val="1359114319"/>
      </w:pPr>
      <w:r>
        <w:fldChar w:fldCharType="begin"/>
      </w:r>
      <w:r>
        <w:instrText xml:space="preserve"> HYPERLINK "" \l "_ftnref2" \o "" </w:instrText>
      </w:r>
      <w:r>
        <w:fldChar w:fldCharType="separate"/>
      </w:r>
      <w:r>
        <w:rPr>
          <w:rStyle w:val="Hyperlink"/>
        </w:rPr>
        <w:t>[2]</w:t>
      </w:r>
      <w:r>
        <w:fldChar w:fldCharType="end"/>
      </w:r>
      <w:bookmarkEnd w:id="6"/>
      <w:r>
        <w:t xml:space="preserve"> These questions are also from the 2014 Pew Political Polarization Survey referred to in footnote 1.  They actually used a series of 10 questions.  I only reported four of them here.</w:t>
      </w:r>
    </w:p>
    <w:bookmarkStart w:id="7" w:name="_ftn3"/>
    <w:p w:rsidR="00B63FA0" w:rsidRDefault="00EF0049">
      <w:pPr>
        <w:pStyle w:val="NormalWeb"/>
        <w:divId w:val="724108617"/>
      </w:pPr>
      <w:r>
        <w:fldChar w:fldCharType="begin"/>
      </w:r>
      <w:r>
        <w:instrText xml:space="preserve"> HYPERLINK "" \l "_ftnref3" \o "" </w:instrText>
      </w:r>
      <w:r>
        <w:fldChar w:fldCharType="separate"/>
      </w:r>
      <w:r>
        <w:rPr>
          <w:rStyle w:val="Hyperlink"/>
        </w:rPr>
        <w:t>[3]</w:t>
      </w:r>
      <w:r>
        <w:fldChar w:fldCharType="end"/>
      </w:r>
      <w:bookmarkEnd w:id="7"/>
      <w:r>
        <w:t xml:space="preserve"> See the Pew Research Center’s </w:t>
      </w:r>
      <w:hyperlink r:id="rId10" w:history="1">
        <w:r>
          <w:rPr>
            <w:rStyle w:val="Hyperlink"/>
          </w:rPr>
          <w:t>report</w:t>
        </w:r>
      </w:hyperlink>
      <w:r>
        <w:t xml:space="preserve"> on voting turnout.</w:t>
      </w:r>
    </w:p>
    <w:bookmarkStart w:id="8" w:name="_ftn4"/>
    <w:p w:rsidR="00EF0049" w:rsidRDefault="00EF0049">
      <w:pPr>
        <w:pStyle w:val="NormalWeb"/>
        <w:divId w:val="1369985104"/>
      </w:pPr>
      <w:r>
        <w:fldChar w:fldCharType="begin"/>
      </w:r>
      <w:r>
        <w:instrText xml:space="preserve"> HYPERLINK "" \l "_ftnref4" \o "" </w:instrText>
      </w:r>
      <w:r>
        <w:fldChar w:fldCharType="separate"/>
      </w:r>
      <w:r>
        <w:rPr>
          <w:rStyle w:val="Hyperlink"/>
        </w:rPr>
        <w:t>[4]</w:t>
      </w:r>
      <w:r>
        <w:fldChar w:fldCharType="end"/>
      </w:r>
      <w:bookmarkEnd w:id="8"/>
      <w:r>
        <w:t xml:space="preserve"> A good introduction to validity can be found in Earl </w:t>
      </w:r>
      <w:proofErr w:type="spellStart"/>
      <w:r>
        <w:t>Babbie’s</w:t>
      </w:r>
      <w:proofErr w:type="spellEnd"/>
      <w:r>
        <w:t xml:space="preserve"> The Practice of Social Research. Wadsworth Cengage Learning, 2013, pp. 151-153.  </w:t>
      </w:r>
      <w:proofErr w:type="spellStart"/>
      <w:r>
        <w:t>Babbie</w:t>
      </w:r>
      <w:proofErr w:type="spellEnd"/>
      <w:r>
        <w:t xml:space="preserve"> discusses several different dimensions of validity – face validity, criterion-related validity, construct validity, and content validity.  We omitted construct validity in our brief discussion in this exercise.  </w:t>
      </w:r>
    </w:p>
    <w:sectPr w:rsidR="00EF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5BD3"/>
    <w:multiLevelType w:val="multilevel"/>
    <w:tmpl w:val="E07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903C7"/>
    <w:multiLevelType w:val="multilevel"/>
    <w:tmpl w:val="3D1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B7361"/>
    <w:multiLevelType w:val="multilevel"/>
    <w:tmpl w:val="2ED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32A75"/>
    <w:rsid w:val="00616132"/>
    <w:rsid w:val="006875DF"/>
    <w:rsid w:val="00932A75"/>
    <w:rsid w:val="00B63FA0"/>
    <w:rsid w:val="00EF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3175">
      <w:marLeft w:val="0"/>
      <w:marRight w:val="0"/>
      <w:marTop w:val="0"/>
      <w:marBottom w:val="0"/>
      <w:divBdr>
        <w:top w:val="none" w:sz="0" w:space="0" w:color="auto"/>
        <w:left w:val="none" w:sz="0" w:space="0" w:color="auto"/>
        <w:bottom w:val="none" w:sz="0" w:space="0" w:color="auto"/>
        <w:right w:val="none" w:sz="0" w:space="0" w:color="auto"/>
      </w:divBdr>
      <w:divsChild>
        <w:div w:id="2006979327">
          <w:marLeft w:val="0"/>
          <w:marRight w:val="0"/>
          <w:marTop w:val="0"/>
          <w:marBottom w:val="0"/>
          <w:divBdr>
            <w:top w:val="none" w:sz="0" w:space="0" w:color="auto"/>
            <w:left w:val="none" w:sz="0" w:space="0" w:color="auto"/>
            <w:bottom w:val="none" w:sz="0" w:space="0" w:color="auto"/>
            <w:right w:val="none" w:sz="0" w:space="0" w:color="auto"/>
          </w:divBdr>
        </w:div>
        <w:div w:id="1359114319">
          <w:marLeft w:val="0"/>
          <w:marRight w:val="0"/>
          <w:marTop w:val="0"/>
          <w:marBottom w:val="0"/>
          <w:divBdr>
            <w:top w:val="none" w:sz="0" w:space="0" w:color="auto"/>
            <w:left w:val="none" w:sz="0" w:space="0" w:color="auto"/>
            <w:bottom w:val="none" w:sz="0" w:space="0" w:color="auto"/>
            <w:right w:val="none" w:sz="0" w:space="0" w:color="auto"/>
          </w:divBdr>
        </w:div>
        <w:div w:id="724108617">
          <w:marLeft w:val="0"/>
          <w:marRight w:val="0"/>
          <w:marTop w:val="0"/>
          <w:marBottom w:val="0"/>
          <w:divBdr>
            <w:top w:val="none" w:sz="0" w:space="0" w:color="auto"/>
            <w:left w:val="none" w:sz="0" w:space="0" w:color="auto"/>
            <w:bottom w:val="none" w:sz="0" w:space="0" w:color="auto"/>
            <w:right w:val="none" w:sz="0" w:space="0" w:color="auto"/>
          </w:divBdr>
        </w:div>
        <w:div w:id="136998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3RM.docx" TargetMode="External"/><Relationship Id="rId3" Type="http://schemas.microsoft.com/office/2007/relationships/stylesWithEffects" Target="stylesWithEffects.xml"/><Relationship Id="rId7" Type="http://schemas.openxmlformats.org/officeDocument/2006/relationships/hyperlink" Target="http://monitoringthefutu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wresearch.org/fact-tank/2016/08/02/u-s-voter-turnout-trails-most-developed-countries/?utm_source=Pew+Research+Center&amp;utm_campaign=95ba07b7a9-Weekly_August_4_20168_3_2016&amp;utm_medium=email&amp;utm_term=0_3e953b9b70-95ba07b7a9-399416193" TargetMode="External"/><Relationship Id="rId4" Type="http://schemas.openxmlformats.org/officeDocument/2006/relationships/settings" Target="settings.xml"/><Relationship Id="rId9" Type="http://schemas.openxmlformats.org/officeDocument/2006/relationships/hyperlink" Target="http://www.pewresearch.org/fact-tank/2014/06/12/7-things-to-know-about-polarization-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2017-03-12T00:23:00Z</dcterms:created>
  <dcterms:modified xsi:type="dcterms:W3CDTF">2017-03-12T00:39:00Z</dcterms:modified>
</cp:coreProperties>
</file>