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3915">
      <w:pPr>
        <w:pStyle w:val="NormalWeb"/>
      </w:pPr>
      <w:r>
        <w:t>Author: Ed Nelson</w:t>
      </w:r>
      <w:r>
        <w:br/>
        <w:t>Department of Sociology M/S SS97</w:t>
      </w:r>
      <w:r>
        <w:br/>
        <w:t>California State University, Fresno</w:t>
      </w:r>
      <w:r>
        <w:br/>
      </w:r>
      <w:proofErr w:type="spellStart"/>
      <w:r>
        <w:t>Fresno</w:t>
      </w:r>
      <w:proofErr w:type="spellEnd"/>
      <w:r>
        <w:t>, CA 93740</w:t>
      </w:r>
      <w:r>
        <w:br/>
        <w:t>Email: ednelson@csufresno.edu</w:t>
      </w:r>
    </w:p>
    <w:p w:rsidR="00000000" w:rsidRDefault="00E03915">
      <w:pPr>
        <w:pStyle w:val="NormalWeb"/>
      </w:pPr>
      <w:r>
        <w:t>Note to the Instructor: This exercise uses the 2014 General Social Survey (GSS) and SDA to explore levels of measurement. SDA (Survey Documentation and Analysis) is an online statistical package written by the Survey Methods Program at UC Berkeley and is a</w:t>
      </w:r>
      <w:r>
        <w:t xml:space="preserve">vailable without cost wherever one has an internet connection. The 2014 Cumulative Data File (1972 to 2014) is also available without cost by clicking </w:t>
      </w:r>
      <w:hyperlink r:id="rId6" w:history="1">
        <w:r>
          <w:rPr>
            <w:rStyle w:val="Hyperlink"/>
          </w:rPr>
          <w:t>here</w:t>
        </w:r>
      </w:hyperlink>
      <w:r>
        <w:t xml:space="preserve">. For this exercise we will only be using the 2014 General Social Survey. A weight variable is automatically applied to the data set so it better represents the population from which the sample was selected. You have permission to use this exercise and to </w:t>
      </w:r>
      <w:r>
        <w:t>revise it to fit your needs. Please send a copy of any revision to the author. Included with this exercise (as separate files) are more detailed notes to the instructors and the exercise itself. Please contact the author for additional information.</w:t>
      </w:r>
    </w:p>
    <w:p w:rsidR="00000000" w:rsidRDefault="00E03915">
      <w:pPr>
        <w:pStyle w:val="NormalWeb"/>
      </w:pPr>
      <w:r>
        <w:t>I’m att</w:t>
      </w:r>
      <w:r>
        <w:t>aching the following files.</w:t>
      </w:r>
    </w:p>
    <w:p w:rsidR="00000000" w:rsidRDefault="00E03915">
      <w:pPr>
        <w:numPr>
          <w:ilvl w:val="0"/>
          <w:numId w:val="1"/>
        </w:numPr>
        <w:spacing w:before="100" w:beforeAutospacing="1" w:after="100" w:afterAutospacing="1"/>
        <w:rPr>
          <w:rFonts w:eastAsia="Times New Roman"/>
        </w:rPr>
      </w:pPr>
      <w:hyperlink r:id="rId7" w:history="1">
        <w:r>
          <w:rPr>
            <w:rStyle w:val="Hyperlink"/>
            <w:rFonts w:eastAsia="Times New Roman"/>
          </w:rPr>
          <w:t>Extended notes for instructors</w:t>
        </w:r>
      </w:hyperlink>
      <w:r>
        <w:rPr>
          <w:rFonts w:eastAsia="Times New Roman"/>
        </w:rPr>
        <w:t> </w:t>
      </w:r>
      <w:r w:rsidR="00AF1759">
        <w:rPr>
          <w:rFonts w:eastAsia="Times New Roman"/>
        </w:rPr>
        <w:t>(MS Word; .docx format).</w:t>
      </w:r>
    </w:p>
    <w:p w:rsidR="00000000" w:rsidRDefault="00AF1759">
      <w:pPr>
        <w:numPr>
          <w:ilvl w:val="0"/>
          <w:numId w:val="1"/>
        </w:numPr>
        <w:spacing w:before="100" w:beforeAutospacing="1" w:after="100" w:afterAutospacing="1"/>
        <w:rPr>
          <w:rFonts w:eastAsia="Times New Roman"/>
        </w:rPr>
      </w:pPr>
      <w:r>
        <w:rPr>
          <w:rFonts w:eastAsia="Times New Roman"/>
        </w:rPr>
        <w:fldChar w:fldCharType="begin"/>
      </w:r>
      <w:r>
        <w:rPr>
          <w:rFonts w:eastAsia="Times New Roman"/>
        </w:rPr>
        <w:instrText xml:space="preserve"> HYPERLINK "http://ssric.org/files/STAT1S_SDA.docx" </w:instrText>
      </w:r>
      <w:r>
        <w:rPr>
          <w:rFonts w:eastAsia="Times New Roman"/>
        </w:rPr>
      </w:r>
      <w:r>
        <w:rPr>
          <w:rFonts w:eastAsia="Times New Roman"/>
        </w:rPr>
        <w:fldChar w:fldCharType="separate"/>
      </w:r>
      <w:r w:rsidRPr="00AF1759">
        <w:rPr>
          <w:rStyle w:val="Hyperlink"/>
          <w:rFonts w:eastAsia="Times New Roman"/>
        </w:rPr>
        <w:t>This page</w:t>
      </w:r>
      <w:r>
        <w:rPr>
          <w:rFonts w:eastAsia="Times New Roman"/>
        </w:rPr>
        <w:fldChar w:fldCharType="end"/>
      </w:r>
      <w:r>
        <w:rPr>
          <w:rFonts w:eastAsia="Times New Roman"/>
        </w:rPr>
        <w:t xml:space="preserve"> (MS Word; docx format).</w:t>
      </w:r>
      <w:bookmarkStart w:id="0" w:name="_GoBack"/>
      <w:bookmarkEnd w:id="0"/>
      <w:r w:rsidR="00E03915">
        <w:rPr>
          <w:rFonts w:eastAsia="Times New Roman"/>
        </w:rPr>
        <w:t> </w:t>
      </w:r>
    </w:p>
    <w:p w:rsidR="00000000" w:rsidRDefault="00E03915">
      <w:pPr>
        <w:pStyle w:val="Heading2"/>
        <w:rPr>
          <w:rFonts w:eastAsia="Times New Roman"/>
        </w:rPr>
      </w:pPr>
      <w:r>
        <w:rPr>
          <w:rFonts w:eastAsia="Times New Roman"/>
        </w:rPr>
        <w:t>Goals of Exercise</w:t>
      </w:r>
    </w:p>
    <w:p w:rsidR="00000000" w:rsidRDefault="00E03915">
      <w:pPr>
        <w:pStyle w:val="NormalWeb"/>
      </w:pPr>
      <w:r>
        <w:t>The goal of this exercise is to</w:t>
      </w:r>
      <w:r>
        <w:t xml:space="preserve"> explore the concept of levels of measurement (nominal, ordinal, interval, and ratio measures) which is an important consideration for the use of statistics. The exercise also gives you practice in using FREQUENCIES in SDA.</w:t>
      </w:r>
    </w:p>
    <w:p w:rsidR="00000000" w:rsidRDefault="00E03915">
      <w:pPr>
        <w:pStyle w:val="Heading3"/>
        <w:rPr>
          <w:rFonts w:eastAsia="Times New Roman"/>
        </w:rPr>
      </w:pPr>
      <w:r>
        <w:rPr>
          <w:rFonts w:eastAsia="Times New Roman"/>
        </w:rPr>
        <w:t>Part I—Introduction to Levels of</w:t>
      </w:r>
      <w:r>
        <w:rPr>
          <w:rFonts w:eastAsia="Times New Roman"/>
        </w:rPr>
        <w:t xml:space="preserve"> Measurement</w:t>
      </w:r>
    </w:p>
    <w:p w:rsidR="00000000" w:rsidRDefault="00E03915">
      <w:pPr>
        <w:pStyle w:val="NormalWeb"/>
      </w:pPr>
      <w:r>
        <w:t>We use concepts all the time. We all know what a book is. But when we use the word “book” often we’re not talking about a particular book that we’re reading. We’re talking about books in general. In other words, we’re talking about the concept</w:t>
      </w:r>
      <w:r>
        <w:t xml:space="preserve"> to which we have given the name “book.” There are many different types of books – paperback, hardback, small, large, short, long, and so on. But they all have one thing in common – they all belong to the category “book.”</w:t>
      </w:r>
    </w:p>
    <w:p w:rsidR="00000000" w:rsidRDefault="00E03915">
      <w:pPr>
        <w:pStyle w:val="NormalWeb"/>
      </w:pPr>
      <w:r>
        <w:t>Let’s look at another example. Rel</w:t>
      </w:r>
      <w:r>
        <w:t>igiosity is a concept which refers to the degree of attachment that individuals have to their religious preference. It’s different than religious preference which refers to the religion with which they identify. Some people say they are Lutheran; others sa</w:t>
      </w:r>
      <w:r>
        <w:t>y they are Roman Catholic; still others say they are Muslim; and others say they have no religious preference. Religiosity and religious preference are both concepts.</w:t>
      </w:r>
    </w:p>
    <w:p w:rsidR="00000000" w:rsidRDefault="00E03915">
      <w:pPr>
        <w:pStyle w:val="NormalWeb"/>
      </w:pPr>
      <w:r>
        <w:t>A concept is an abstract idea. So there are the abstract ideas of book, religiosity, reli</w:t>
      </w:r>
      <w:r>
        <w:t xml:space="preserve">gious preference, and many others. </w:t>
      </w:r>
      <w:proofErr w:type="gramStart"/>
      <w:r>
        <w:t>Since concepts are abstract ideas and not directly observable, we select measures or indicants of these concepts.</w:t>
      </w:r>
      <w:proofErr w:type="gramEnd"/>
      <w:r>
        <w:t xml:space="preserve"> Religiosity can be measured in a number of different ways – how often people attend church, how often they </w:t>
      </w:r>
      <w:r>
        <w:t>pray, and how important they say their religion is to them.</w:t>
      </w:r>
    </w:p>
    <w:p w:rsidR="00000000" w:rsidRDefault="00E03915">
      <w:pPr>
        <w:pStyle w:val="NormalWeb"/>
      </w:pPr>
      <w:r>
        <w:t>We’re going to use the General Social Survey (GSS) for this exercise. The GSS is a national probability sample of adults in the United States conducted by the National Opinion Research Center (NOR</w:t>
      </w:r>
      <w:r>
        <w:t xml:space="preserve">C). The GSS started in 1972 and has been an annual or biannual survey ever since. For this exercise we’re going to use the 2014 GSS. To access the GSS cumulative data file in SDA format click </w:t>
      </w:r>
      <w:hyperlink r:id="rId8"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t>year(</w:t>
      </w:r>
      <w:proofErr w:type="gramEnd"/>
      <w:r>
        <w:t>2014) in the Selection Filter(s) box. Your s</w:t>
      </w:r>
      <w:r>
        <w:t>creen should look like Figure 1-1. This tells SDA to select out the 2014 data from the cumulative file.</w:t>
      </w:r>
    </w:p>
    <w:p w:rsidR="00000000" w:rsidRDefault="00E03915">
      <w:pPr>
        <w:pStyle w:val="NormalWeb"/>
      </w:pPr>
      <w:r>
        <w:rPr>
          <w:noProof/>
        </w:rPr>
        <w:drawing>
          <wp:inline distT="0" distB="0" distL="0" distR="0">
            <wp:extent cx="4229100" cy="1571625"/>
            <wp:effectExtent l="0" t="0" r="0" b="9525"/>
            <wp:docPr id="1" name="Picture 1" descr="Title: Figure 1-1 - Description: This image shows the SDA Frequencies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Figure 1-1 - Description: This image shows the SDA Frequencies dialog box with the selection filter(s) and weight boxes filled i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29100" cy="1571625"/>
                    </a:xfrm>
                    <a:prstGeom prst="rect">
                      <a:avLst/>
                    </a:prstGeom>
                    <a:noFill/>
                    <a:ln>
                      <a:noFill/>
                    </a:ln>
                  </pic:spPr>
                </pic:pic>
              </a:graphicData>
            </a:graphic>
          </wp:inline>
        </w:drawing>
      </w:r>
      <w:r>
        <w:br/>
        <w:t>Figure 1-1</w:t>
      </w:r>
    </w:p>
    <w:p w:rsidR="00000000" w:rsidRDefault="00E03915">
      <w:pPr>
        <w:pStyle w:val="NormalWeb"/>
      </w:pPr>
      <w:r>
        <w:t xml:space="preserve">Notice that a weight variable has already been entered in the WEIGHT box. This will </w:t>
      </w:r>
      <w:proofErr w:type="spellStart"/>
      <w:r>
        <w:t>weight</w:t>
      </w:r>
      <w:proofErr w:type="spellEnd"/>
      <w:r>
        <w:t xml:space="preserve"> the data so the sample better represents the population from which the sample was selected.</w:t>
      </w:r>
    </w:p>
    <w:p w:rsidR="00000000" w:rsidRDefault="00E03915">
      <w:pPr>
        <w:pStyle w:val="NormalWeb"/>
      </w:pPr>
      <w:r>
        <w:t>The GSS is an example of a social survey. Th</w:t>
      </w:r>
      <w:r>
        <w:t>e investigators selected a sample from the population of all adults in the United States. This particular survey was conducted in 2014 and is a relatively large sample of approximately 2,500 adults. In a survey we ask respondents questions and use their an</w:t>
      </w:r>
      <w:r>
        <w:t>swers as data for our analysis. The answers to these questions are used as measures of various concepts. In the language of survey research these measures are typically referred to as variables. Often we want to describe respondents in terms of social char</w:t>
      </w:r>
      <w:r>
        <w:t>acteristics such as marital status, education, and age. These are all variables in the GSS.</w:t>
      </w:r>
    </w:p>
    <w:p w:rsidR="00000000" w:rsidRDefault="00E03915">
      <w:pPr>
        <w:pStyle w:val="NormalWeb"/>
      </w:pPr>
      <w:r>
        <w:t>These measures are often classified in terms of their levels of measurement. S. S. Stevens described measures as falling into one of four categories – nominal, ordi</w:t>
      </w:r>
      <w:r>
        <w:t>nal, interval, or ratio.</w:t>
      </w:r>
      <w:bookmarkStart w:id="1" w:name="_ftnref1"/>
      <w:r>
        <w:fldChar w:fldCharType="begin"/>
      </w:r>
      <w:r>
        <w:instrText xml:space="preserve"> </w:instrText>
      </w:r>
      <w:r>
        <w:instrText>HYPERLINK "" \l "_ftn1" \o ""</w:instrText>
      </w:r>
      <w:r>
        <w:instrText xml:space="preserve"> </w:instrText>
      </w:r>
      <w:r>
        <w:fldChar w:fldCharType="separate"/>
      </w:r>
      <w:r>
        <w:rPr>
          <w:rStyle w:val="Hyperlink"/>
        </w:rPr>
        <w:t>[1]</w:t>
      </w:r>
      <w:r>
        <w:fldChar w:fldCharType="end"/>
      </w:r>
      <w:bookmarkEnd w:id="1"/>
    </w:p>
    <w:p w:rsidR="00000000" w:rsidRDefault="00E03915">
      <w:pPr>
        <w:pStyle w:val="NormalWeb"/>
      </w:pPr>
      <w:r>
        <w:t>Here’s a brief description of each level.</w:t>
      </w:r>
    </w:p>
    <w:p w:rsidR="00000000" w:rsidRDefault="00E03915">
      <w:pPr>
        <w:pStyle w:val="NormalWeb"/>
      </w:pPr>
      <w:r>
        <w:t>A nominal measure is one in which objects (i.e. in our survey, these would be the respondents) are sorted into a set of categories which are qualitative</w:t>
      </w:r>
      <w:r>
        <w:t>ly different from each other. For example, we could classify individuals by their marital status. Individuals could be married or widowed or divorced or separated or never married. Our categories should be mutually exclusive and exhaustive. Mutually exclus</w:t>
      </w:r>
      <w:r>
        <w:t>ive means that every individual can be sorted into one and only one category. Exhaustive means that every individual can be sorted into a category. We wouldn’t want to use single as one of our categories because some people who are single can also be divor</w:t>
      </w:r>
      <w:r>
        <w:t>ced and therefore could be sorted into more than one category. We wouldn’t want to leave widowed off our list of categories because then we wouldn’t have any place to sort these individuals.</w:t>
      </w:r>
    </w:p>
    <w:p w:rsidR="00000000" w:rsidRDefault="00E03915">
      <w:pPr>
        <w:pStyle w:val="NormalWeb"/>
      </w:pPr>
      <w:r>
        <w:t xml:space="preserve">The categories in a nominal level measure have no inherent order </w:t>
      </w:r>
      <w:r>
        <w:t xml:space="preserve">to them. This means that it wouldn’t matter how we ordered the categories. They could be arranged in any number of different ways. Run FREQUENCIES in SDA for the variable </w:t>
      </w:r>
      <w:r>
        <w:rPr>
          <w:rStyle w:val="Emphasis"/>
        </w:rPr>
        <w:t xml:space="preserve">marital </w:t>
      </w:r>
      <w:r>
        <w:t>so you can see the frequency distribution for a nominal level variable. It wo</w:t>
      </w:r>
      <w:r>
        <w:t xml:space="preserve">uldn’t matter how we ordered these categories. To run the frequency distribution, enter the variable name, </w:t>
      </w:r>
      <w:r>
        <w:rPr>
          <w:rStyle w:val="Emphasis"/>
        </w:rPr>
        <w:t>marital</w:t>
      </w:r>
      <w:r>
        <w:t>, in the ROW box. Your screen should like Figure 1-2. Then click on RUN THE TABLE at the bottom. Notice that the SELECTION FILTER(S) box and t</w:t>
      </w:r>
      <w:r>
        <w:t>he WEIGHT box are both filled in.</w:t>
      </w:r>
    </w:p>
    <w:p w:rsidR="00000000" w:rsidRDefault="00E03915">
      <w:pPr>
        <w:pStyle w:val="NormalWeb"/>
      </w:pPr>
      <w:r>
        <w:rPr>
          <w:noProof/>
        </w:rPr>
        <w:drawing>
          <wp:inline distT="0" distB="0" distL="0" distR="0">
            <wp:extent cx="3962400" cy="1647825"/>
            <wp:effectExtent l="0" t="0" r="0" b="9525"/>
            <wp:docPr id="2" name="Picture 2" descr="Title: Figure 1-2 - Description: This image shows the frequencies dialog box in SDA where the row, selection filter(s), and weight box ar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Figure 1-2 - Description: This image shows the frequencies dialog box in SDA where the row, selection filter(s), and weight box are filled i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962400" cy="1647825"/>
                    </a:xfrm>
                    <a:prstGeom prst="rect">
                      <a:avLst/>
                    </a:prstGeom>
                    <a:noFill/>
                    <a:ln>
                      <a:noFill/>
                    </a:ln>
                  </pic:spPr>
                </pic:pic>
              </a:graphicData>
            </a:graphic>
          </wp:inline>
        </w:drawing>
      </w:r>
      <w:r>
        <w:br/>
        <w:t>Figure 1-2</w:t>
      </w:r>
    </w:p>
    <w:p w:rsidR="00000000" w:rsidRDefault="00E03915">
      <w:pPr>
        <w:pStyle w:val="NormalWeb"/>
      </w:pPr>
      <w:r>
        <w:t>An ordinal measure is a nominal measure i</w:t>
      </w:r>
      <w:r>
        <w:t xml:space="preserve">n which the categories are ordered from low to high or from high to low. We could classify individuals in terms of the highest educational degree they achieved. Some individuals did not complete high school; others graduated from high school but didn’t go </w:t>
      </w:r>
      <w:r>
        <w:t>on to college. Other individuals completed a two-year junior college degree but then stopped college. Still others completed their bachelor’s degree and others went on to graduate work and completed a master’s degree or their doctorate. These categories ar</w:t>
      </w:r>
      <w:r>
        <w:t>e ordered from low to high.</w:t>
      </w:r>
    </w:p>
    <w:p w:rsidR="00000000" w:rsidRDefault="00E03915">
      <w:pPr>
        <w:pStyle w:val="NormalWeb"/>
      </w:pPr>
      <w:r>
        <w:t xml:space="preserve">But notice that while the categories are ordered they lack an equal unit of measurement. That means, for example, that the differences between categories are not necessarily equal. Run FREQUENCIES in SDA for </w:t>
      </w:r>
      <w:r>
        <w:rPr>
          <w:rStyle w:val="Emphasis"/>
        </w:rPr>
        <w:t>degree</w:t>
      </w:r>
      <w:r>
        <w:t xml:space="preserve">. Look at the </w:t>
      </w:r>
      <w:r>
        <w:t>categories. The GSS assigned values (i.e., numbers) to these categories in the following way:</w:t>
      </w:r>
    </w:p>
    <w:p w:rsidR="00000000" w:rsidRDefault="00E03915">
      <w:pPr>
        <w:numPr>
          <w:ilvl w:val="0"/>
          <w:numId w:val="2"/>
        </w:numPr>
        <w:spacing w:before="100" w:beforeAutospacing="1" w:after="100" w:afterAutospacing="1"/>
        <w:rPr>
          <w:rFonts w:eastAsia="Times New Roman"/>
        </w:rPr>
      </w:pPr>
      <w:r>
        <w:rPr>
          <w:rFonts w:eastAsia="Times New Roman"/>
        </w:rPr>
        <w:t>0 = less than high school,</w:t>
      </w:r>
    </w:p>
    <w:p w:rsidR="00000000" w:rsidRDefault="00E03915">
      <w:pPr>
        <w:numPr>
          <w:ilvl w:val="0"/>
          <w:numId w:val="2"/>
        </w:numPr>
        <w:spacing w:before="100" w:beforeAutospacing="1" w:after="100" w:afterAutospacing="1"/>
        <w:rPr>
          <w:rFonts w:eastAsia="Times New Roman"/>
        </w:rPr>
      </w:pPr>
      <w:r>
        <w:rPr>
          <w:rFonts w:eastAsia="Times New Roman"/>
        </w:rPr>
        <w:t>1 = high school degree,</w:t>
      </w:r>
    </w:p>
    <w:p w:rsidR="00000000" w:rsidRDefault="00E03915">
      <w:pPr>
        <w:numPr>
          <w:ilvl w:val="0"/>
          <w:numId w:val="2"/>
        </w:numPr>
        <w:spacing w:before="100" w:beforeAutospacing="1" w:after="100" w:afterAutospacing="1"/>
        <w:rPr>
          <w:rFonts w:eastAsia="Times New Roman"/>
        </w:rPr>
      </w:pPr>
      <w:r>
        <w:rPr>
          <w:rFonts w:eastAsia="Times New Roman"/>
        </w:rPr>
        <w:t>2 = junior college,</w:t>
      </w:r>
    </w:p>
    <w:p w:rsidR="00000000" w:rsidRDefault="00E03915">
      <w:pPr>
        <w:numPr>
          <w:ilvl w:val="0"/>
          <w:numId w:val="2"/>
        </w:numPr>
        <w:spacing w:before="100" w:beforeAutospacing="1" w:after="100" w:afterAutospacing="1"/>
        <w:rPr>
          <w:rFonts w:eastAsia="Times New Roman"/>
        </w:rPr>
      </w:pPr>
      <w:r>
        <w:rPr>
          <w:rFonts w:eastAsia="Times New Roman"/>
        </w:rPr>
        <w:t>3 = bachelors, and</w:t>
      </w:r>
    </w:p>
    <w:p w:rsidR="00000000" w:rsidRDefault="00E03915">
      <w:pPr>
        <w:numPr>
          <w:ilvl w:val="0"/>
          <w:numId w:val="2"/>
        </w:numPr>
        <w:spacing w:before="100" w:beforeAutospacing="1" w:after="100" w:afterAutospacing="1"/>
        <w:rPr>
          <w:rFonts w:eastAsia="Times New Roman"/>
        </w:rPr>
      </w:pPr>
      <w:r>
        <w:rPr>
          <w:rFonts w:eastAsia="Times New Roman"/>
        </w:rPr>
        <w:t>4 = graduate.</w:t>
      </w:r>
    </w:p>
    <w:p w:rsidR="00000000" w:rsidRDefault="00E03915">
      <w:pPr>
        <w:pStyle w:val="NormalWeb"/>
      </w:pPr>
      <w:r>
        <w:t>The difference in education between the first two categories is not the same as the difference between the last two categories. We might think they are because 0 minus 1 is equal to 3 minus 4 but this is misleading. These aren’t really numbers. They’re jus</w:t>
      </w:r>
      <w:r>
        <w:t>t symbols that we have used to represent these categories. We could just as well have labeled them a, b, c, d, and e. They don’t have the properties of real numbers. They can’t be added, subtracted, multiplied, and divided. All we can say is that b is grea</w:t>
      </w:r>
      <w:r>
        <w:t xml:space="preserve">ter than </w:t>
      </w:r>
      <w:proofErr w:type="gramStart"/>
      <w:r>
        <w:t>a and</w:t>
      </w:r>
      <w:proofErr w:type="gramEnd"/>
      <w:r>
        <w:t xml:space="preserve"> that c is greater than b and so on.</w:t>
      </w:r>
    </w:p>
    <w:p w:rsidR="00000000" w:rsidRDefault="00E03915">
      <w:pPr>
        <w:pStyle w:val="NormalWeb"/>
      </w:pPr>
      <w:r>
        <w:t>An interval measure is an ordinal measure with equal units of measurement. For example, consider temperature measured in degrees Fahrenheit. Now we have equal units of measurement – degrees Fahrenheit. The</w:t>
      </w:r>
      <w:r>
        <w:t xml:space="preserve"> difference between 20 degrees and 40 degrees is the same as the difference between 70 degrees and 90 degrees. Now the numbers have the properties of real numbers and we can add them and subtract them. But notice one thing about the Fahrenheit scale. There</w:t>
      </w:r>
      <w:r>
        <w:t xml:space="preserve"> is no absolute zero point. There can be both positive and negative temperatures. That means that we can’t compare values by taking their ratios. For example, we can’t divide 80 degrees Fahrenheit by 40 degrees and conclude that 80 </w:t>
      </w:r>
      <w:proofErr w:type="gramStart"/>
      <w:r>
        <w:t>is</w:t>
      </w:r>
      <w:proofErr w:type="gramEnd"/>
      <w:r>
        <w:t xml:space="preserve"> twice as hot at 40. T</w:t>
      </w:r>
      <w:r>
        <w:t>o do that we would need a measure with an absolute zero point.</w:t>
      </w:r>
      <w:bookmarkStart w:id="2" w:name="_ftnref2"/>
      <w:r>
        <w:fldChar w:fldCharType="begin"/>
      </w:r>
      <w:r>
        <w:instrText xml:space="preserve"> </w:instrText>
      </w:r>
      <w:r>
        <w:instrText>HYPERLINK "" \l "_ftn2" \o ""</w:instrText>
      </w:r>
      <w:r>
        <w:instrText xml:space="preserve"> </w:instrText>
      </w:r>
      <w:r>
        <w:fldChar w:fldCharType="separate"/>
      </w:r>
      <w:r>
        <w:rPr>
          <w:rStyle w:val="Hyperlink"/>
        </w:rPr>
        <w:t>[2]</w:t>
      </w:r>
      <w:r>
        <w:fldChar w:fldCharType="end"/>
      </w:r>
      <w:bookmarkEnd w:id="2"/>
    </w:p>
    <w:p w:rsidR="00000000" w:rsidRDefault="00E03915">
      <w:pPr>
        <w:pStyle w:val="NormalWeb"/>
      </w:pPr>
      <w:r>
        <w:t xml:space="preserve">A ratio measure is an interval measure with an absolute zero point. Run FREQUENCIES for </w:t>
      </w:r>
      <w:proofErr w:type="gramStart"/>
      <w:r>
        <w:rPr>
          <w:rStyle w:val="Emphasis"/>
        </w:rPr>
        <w:t xml:space="preserve">sibs </w:t>
      </w:r>
      <w:r>
        <w:t>which is</w:t>
      </w:r>
      <w:proofErr w:type="gramEnd"/>
      <w:r>
        <w:t xml:space="preserve"> the number of siblings. This variable has an absolute zero point and all the properties of nominal, ordinal, and interval measures and therefore is a ratio variable.</w:t>
      </w:r>
    </w:p>
    <w:p w:rsidR="00000000" w:rsidRDefault="00E03915">
      <w:pPr>
        <w:pStyle w:val="NormalWeb"/>
      </w:pPr>
      <w:r>
        <w:t>Notice that level of measurement is itself ordinal since it is ordered from low (</w:t>
      </w:r>
      <w:r>
        <w:t>nominal) to high (ratio). It’s what we call a cumulative scale. Each level of measurement adds something to the previous level.</w:t>
      </w:r>
    </w:p>
    <w:p w:rsidR="00000000" w:rsidRDefault="00E03915">
      <w:pPr>
        <w:pStyle w:val="NormalWeb"/>
      </w:pPr>
      <w:r>
        <w:t xml:space="preserve">Why is level of measurement important? One of the things that </w:t>
      </w:r>
      <w:proofErr w:type="gramStart"/>
      <w:r>
        <w:t>helps</w:t>
      </w:r>
      <w:proofErr w:type="gramEnd"/>
      <w:r>
        <w:t xml:space="preserve"> us decide which statistic to use is the level of measurement</w:t>
      </w:r>
      <w:r>
        <w:t xml:space="preserve"> of the variable(s) involved. For example, we might want to describe the central tendency of a distribution. If the variable was nominal, we would use the mode. If it was ordinal, we could use the mode or the median. If it was interval or ratio, we could u</w:t>
      </w:r>
      <w:r>
        <w:t>se the mode or median or mean. Central tendency will be the focus of another exercise (</w:t>
      </w:r>
      <w:hyperlink r:id="rId11" w:history="1">
        <w:r>
          <w:rPr>
            <w:rStyle w:val="Hyperlink"/>
          </w:rPr>
          <w:t>STAT2S_SDA</w:t>
        </w:r>
      </w:hyperlink>
      <w:r>
        <w:t>).</w:t>
      </w:r>
    </w:p>
    <w:p w:rsidR="00000000" w:rsidRDefault="00E03915">
      <w:pPr>
        <w:pStyle w:val="NormalWeb"/>
      </w:pPr>
      <w:r>
        <w:t>Run FREQUENCIES for the following variables:</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satfin</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gramStart"/>
      <w:r>
        <w:rPr>
          <w:rFonts w:eastAsia="Times New Roman"/>
        </w:rPr>
        <w:t>wealth</w:t>
      </w:r>
      <w:proofErr w:type="gramEnd"/>
      <w:r>
        <w:rPr>
          <w:rFonts w:eastAsia="Times New Roman"/>
        </w:rPr>
        <w:t>.</w:t>
      </w:r>
    </w:p>
    <w:p w:rsidR="00000000" w:rsidRDefault="00E03915">
      <w:pPr>
        <w:numPr>
          <w:ilvl w:val="0"/>
          <w:numId w:val="3"/>
        </w:numPr>
        <w:spacing w:before="100" w:beforeAutospacing="1" w:after="100" w:afterAutospacing="1"/>
        <w:rPr>
          <w:rFonts w:eastAsia="Times New Roman"/>
        </w:rPr>
      </w:pPr>
      <w:r>
        <w:rPr>
          <w:rFonts w:eastAsia="Times New Roman"/>
        </w:rPr>
        <w:t>happy,</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partyid</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relig</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denom</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reliten</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nummen</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nu</w:t>
      </w:r>
      <w:r>
        <w:rPr>
          <w:rFonts w:eastAsia="Times New Roman"/>
        </w:rPr>
        <w:t>mwomen</w:t>
      </w:r>
      <w:proofErr w:type="spellEnd"/>
      <w:r>
        <w:rPr>
          <w:rFonts w:eastAsia="Times New Roman"/>
        </w:rPr>
        <w:t>,</w:t>
      </w:r>
    </w:p>
    <w:p w:rsidR="00000000" w:rsidRDefault="00E03915">
      <w:pPr>
        <w:numPr>
          <w:ilvl w:val="0"/>
          <w:numId w:val="3"/>
        </w:numPr>
        <w:spacing w:before="100" w:beforeAutospacing="1" w:after="100" w:afterAutospacing="1"/>
        <w:rPr>
          <w:rFonts w:eastAsia="Times New Roman"/>
        </w:rPr>
      </w:pPr>
      <w:proofErr w:type="spellStart"/>
      <w:r>
        <w:rPr>
          <w:rFonts w:eastAsia="Times New Roman"/>
        </w:rPr>
        <w:t>premarsx</w:t>
      </w:r>
      <w:proofErr w:type="spellEnd"/>
      <w:r>
        <w:rPr>
          <w:rFonts w:eastAsia="Times New Roman"/>
        </w:rPr>
        <w:t>, and</w:t>
      </w:r>
    </w:p>
    <w:p w:rsidR="00000000" w:rsidRDefault="00E03915">
      <w:pPr>
        <w:numPr>
          <w:ilvl w:val="0"/>
          <w:numId w:val="3"/>
        </w:numPr>
        <w:spacing w:before="100" w:beforeAutospacing="1" w:after="100" w:afterAutospacing="1"/>
        <w:rPr>
          <w:rFonts w:eastAsia="Times New Roman"/>
        </w:rPr>
      </w:pPr>
      <w:proofErr w:type="gramStart"/>
      <w:r>
        <w:rPr>
          <w:rFonts w:eastAsia="Times New Roman"/>
        </w:rPr>
        <w:t>age</w:t>
      </w:r>
      <w:proofErr w:type="gramEnd"/>
      <w:r>
        <w:rPr>
          <w:rFonts w:eastAsia="Times New Roman"/>
        </w:rPr>
        <w:t>.</w:t>
      </w:r>
    </w:p>
    <w:p w:rsidR="00000000" w:rsidRDefault="00E03915">
      <w:pPr>
        <w:pStyle w:val="NormalWeb"/>
      </w:pPr>
      <w:r>
        <w:t>For each variable, decide which level of measurement it represents and write a sentence or two indicating why you think it is that level. Keep in mind that we’re only considering those responses that answered the question asked o</w:t>
      </w:r>
      <w:r>
        <w:t>f the respondent. Not all respondents answered the question. Some said they didn’t know or refused to answer the question. These respondents are assigned missing values to indicate they didn’t answer the question and are not included in the frequency distr</w:t>
      </w:r>
      <w:r>
        <w:t>ibution. </w:t>
      </w:r>
    </w:p>
    <w:p w:rsidR="00000000" w:rsidRDefault="00E03915">
      <w:pPr>
        <w:rPr>
          <w:rFonts w:eastAsia="Times New Roman"/>
        </w:rPr>
      </w:pPr>
      <w:r>
        <w:rPr>
          <w:rFonts w:eastAsia="Times New Roman"/>
        </w:rPr>
        <w:pict>
          <v:rect id="_x0000_i1025" style="width:0;height:1.5pt" o:hralign="center" o:hrstd="t" o:hr="t" fillcolor="#a0a0a0" stroked="f"/>
        </w:pict>
      </w:r>
    </w:p>
    <w:bookmarkStart w:id="3" w:name="_ftn1"/>
    <w:p w:rsidR="00000000" w:rsidRDefault="00E03915">
      <w:pPr>
        <w:pStyle w:val="NormalWeb"/>
      </w:pPr>
      <w:r>
        <w:fldChar w:fldCharType="begin"/>
      </w:r>
      <w:r>
        <w:instrText xml:space="preserve"> </w:instrText>
      </w:r>
      <w:r>
        <w:instrText>HYPERLINK "" \l "_ftnref1" \o ""</w:instrText>
      </w:r>
      <w:r>
        <w:instrText xml:space="preserve"> </w:instrText>
      </w:r>
      <w:r>
        <w:fldChar w:fldCharType="separate"/>
      </w:r>
      <w:r>
        <w:rPr>
          <w:rStyle w:val="Hyperlink"/>
        </w:rPr>
        <w:t>[1]</w:t>
      </w:r>
      <w:r>
        <w:fldChar w:fldCharType="end"/>
      </w:r>
      <w:bookmarkEnd w:id="3"/>
      <w:r>
        <w:t xml:space="preserve"> Stanley Smith Stevens, 1946, “On the Theory of Scales of Measurement,” Science 103 (2684), pp. 677-680.</w:t>
      </w:r>
    </w:p>
    <w:bookmarkStart w:id="4" w:name="_ftn2"/>
    <w:p w:rsidR="00000000" w:rsidRDefault="00E03915">
      <w:pPr>
        <w:pStyle w:val="NormalWeb"/>
      </w:pPr>
      <w:r>
        <w:fldChar w:fldCharType="begin"/>
      </w:r>
      <w:r>
        <w:instrText xml:space="preserve"> </w:instrText>
      </w:r>
      <w:r>
        <w:instrText>HYPERLINK "" \l "_ftnref2" \o ""</w:instrText>
      </w:r>
      <w:r>
        <w:instrText xml:space="preserve"> </w:instrText>
      </w:r>
      <w:r>
        <w:fldChar w:fldCharType="separate"/>
      </w:r>
      <w:r>
        <w:rPr>
          <w:rStyle w:val="Hyperlink"/>
        </w:rPr>
        <w:t>[2]</w:t>
      </w:r>
      <w:r>
        <w:fldChar w:fldCharType="end"/>
      </w:r>
      <w:bookmarkEnd w:id="4"/>
      <w:r>
        <w:t xml:space="preserve"> You might wonder why we </w:t>
      </w:r>
      <w:r>
        <w:t xml:space="preserve">didn’t use an example from the GSS.  There isn’t one.  They don’t occur in social science research very often.  There are examples from the field of business.  Think about profit for businesses over a fiscal year.  There is no absolute zero.  Profit could </w:t>
      </w:r>
      <w:r>
        <w:t>be positive or negative.</w:t>
      </w:r>
    </w:p>
    <w:p w:rsidR="00E03915" w:rsidRDefault="00E03915">
      <w:pPr>
        <w:pStyle w:val="NormalWeb"/>
      </w:pPr>
      <w:r>
        <w:t> </w:t>
      </w:r>
    </w:p>
    <w:sectPr w:rsidR="00E0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F81"/>
    <w:multiLevelType w:val="multilevel"/>
    <w:tmpl w:val="F89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72F9B"/>
    <w:multiLevelType w:val="multilevel"/>
    <w:tmpl w:val="EFA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A1D99"/>
    <w:multiLevelType w:val="multilevel"/>
    <w:tmpl w:val="809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A2D11"/>
    <w:rsid w:val="00AF1759"/>
    <w:rsid w:val="00E03915"/>
    <w:rsid w:val="00FA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A2D11"/>
    <w:rPr>
      <w:rFonts w:ascii="Tahoma" w:hAnsi="Tahoma" w:cs="Tahoma"/>
      <w:sz w:val="16"/>
      <w:szCs w:val="16"/>
    </w:rPr>
  </w:style>
  <w:style w:type="character" w:customStyle="1" w:styleId="BalloonTextChar">
    <w:name w:val="Balloon Text Char"/>
    <w:basedOn w:val="DefaultParagraphFont"/>
    <w:link w:val="BalloonText"/>
    <w:uiPriority w:val="99"/>
    <w:semiHidden/>
    <w:rsid w:val="00FA2D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A2D11"/>
    <w:rPr>
      <w:rFonts w:ascii="Tahoma" w:hAnsi="Tahoma" w:cs="Tahoma"/>
      <w:sz w:val="16"/>
      <w:szCs w:val="16"/>
    </w:rPr>
  </w:style>
  <w:style w:type="character" w:customStyle="1" w:styleId="BalloonTextChar">
    <w:name w:val="Balloon Text Char"/>
    <w:basedOn w:val="DefaultParagraphFont"/>
    <w:link w:val="BalloonText"/>
    <w:uiPriority w:val="99"/>
    <w:semiHidden/>
    <w:rsid w:val="00FA2D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erkeley.edu/sdaweb/analysis/?dataset=gss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ric.org/files/Extended_Notes_for_Instructors_for_STAT1S_SD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berkeley.edu/sdaweb/analysis/?dataset=gss14" TargetMode="External"/><Relationship Id="rId11" Type="http://schemas.openxmlformats.org/officeDocument/2006/relationships/hyperlink" Target="http://www.ssric.org/node/599" TargetMode="External"/><Relationship Id="rId5" Type="http://schemas.openxmlformats.org/officeDocument/2006/relationships/webSettings" Target="webSettings.xml"/><Relationship Id="rId10" Type="http://schemas.openxmlformats.org/officeDocument/2006/relationships/image" Target="http://ssric.org/files/SDA1image004.png" TargetMode="External"/><Relationship Id="rId4" Type="http://schemas.openxmlformats.org/officeDocument/2006/relationships/settings" Target="settings.xml"/><Relationship Id="rId9" Type="http://schemas.openxmlformats.org/officeDocument/2006/relationships/image" Target="http://ssric.org/files/SDA1image00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3</cp:revision>
  <dcterms:created xsi:type="dcterms:W3CDTF">2016-10-24T03:05:00Z</dcterms:created>
  <dcterms:modified xsi:type="dcterms:W3CDTF">2016-10-24T03:14:00Z</dcterms:modified>
</cp:coreProperties>
</file>